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0"/>
        <w:gridCol w:w="297"/>
        <w:gridCol w:w="806"/>
        <w:gridCol w:w="40"/>
        <w:gridCol w:w="616"/>
        <w:gridCol w:w="565"/>
        <w:gridCol w:w="40"/>
        <w:gridCol w:w="343"/>
        <w:gridCol w:w="115"/>
        <w:gridCol w:w="205"/>
        <w:gridCol w:w="71"/>
        <w:gridCol w:w="1418"/>
        <w:gridCol w:w="60"/>
        <w:gridCol w:w="1499"/>
        <w:gridCol w:w="34"/>
        <w:gridCol w:w="68"/>
        <w:gridCol w:w="1599"/>
        <w:gridCol w:w="34"/>
      </w:tblGrid>
      <w:tr w:rsidR="00E672D3" w:rsidRPr="006E69A4" w:rsidTr="002A2B31">
        <w:trPr>
          <w:trHeight w:val="709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2D3" w:rsidRPr="006E69A4" w:rsidRDefault="006E69A4" w:rsidP="00014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investment card</w:t>
            </w:r>
          </w:p>
          <w:p w:rsidR="00D1674C" w:rsidRPr="006E69A4" w:rsidRDefault="006E69A4" w:rsidP="00D167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for construction and organization of activity of vegetable processing plant and of hothouse complex</w:t>
            </w:r>
          </w:p>
          <w:p w:rsidR="00E672D3" w:rsidRPr="006E69A4" w:rsidRDefault="00E672D3" w:rsidP="00D167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E672D3" w:rsidRPr="00E672D3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6E69A4">
              <w:rPr>
                <w:b/>
                <w:caps/>
                <w:lang w:val="en-US"/>
              </w:rPr>
              <w:t xml:space="preserve"> General area information</w:t>
            </w:r>
            <w:r w:rsidR="006E69A4"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A400BB" w:rsidRPr="00E672D3" w:rsidTr="00B52FB6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Location address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446DC1" w:rsidRDefault="00A400BB" w:rsidP="00446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Sovetskaya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6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cadaster number</w:t>
            </w:r>
            <w:r w:rsidR="00446DC1">
              <w:rPr>
                <w:rFonts w:ascii="Times New Roman" w:hAnsi="Times New Roman" w:cs="Times New Roman"/>
                <w:sz w:val="24"/>
                <w:szCs w:val="24"/>
              </w:rPr>
              <w:t xml:space="preserve"> - 30:06:100301:108)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Square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3C4">
              <w:rPr>
                <w:rFonts w:ascii="Times New Roman" w:hAnsi="Times New Roman" w:cs="Times New Roman"/>
                <w:lang w:val="en-US"/>
              </w:rPr>
              <w:t>sq</w:t>
            </w:r>
            <w:proofErr w:type="spellEnd"/>
            <w:r w:rsidRPr="00E113C4">
              <w:rPr>
                <w:rFonts w:ascii="Times New Roman" w:hAnsi="Times New Roman" w:cs="Times New Roman"/>
              </w:rPr>
              <w:t>.</w:t>
            </w:r>
            <w:r w:rsidRPr="00E113C4">
              <w:rPr>
                <w:rFonts w:ascii="Times New Roman" w:hAnsi="Times New Roman" w:cs="Times New Roman"/>
                <w:lang w:val="en-US"/>
              </w:rPr>
              <w:t>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or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ha</w:t>
            </w:r>
            <w:r w:rsidRPr="00E11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523CF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27475,5 </w:t>
            </w:r>
            <w:proofErr w:type="spellStart"/>
            <w:r w:rsidR="00523CFB">
              <w:rPr>
                <w:rFonts w:ascii="Times New Roman" w:hAnsi="Times New Roman"/>
                <w:sz w:val="24"/>
                <w:szCs w:val="24"/>
                <w:lang w:val="en-US"/>
              </w:rPr>
              <w:t>sq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3CFB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(2,7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0BB" w:rsidRPr="00E672D3" w:rsidTr="00B52FB6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Remoteness</w:t>
            </w:r>
            <w:r w:rsidRPr="00E113C4">
              <w:rPr>
                <w:rFonts w:ascii="Times New Roman" w:hAnsi="Times New Roman" w:cs="Times New Roman"/>
              </w:rPr>
              <w:t xml:space="preserve">, </w:t>
            </w:r>
            <w:r w:rsidRPr="00E113C4">
              <w:rPr>
                <w:rFonts w:ascii="Times New Roman" w:hAnsi="Times New Roman" w:cs="Times New Roman"/>
                <w:lang w:val="en-US"/>
              </w:rPr>
              <w:t>km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Distance </w:t>
            </w:r>
          </w:p>
        </w:tc>
      </w:tr>
      <w:tr w:rsidR="00A400B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the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center of municipal unit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central part of the district center</w:t>
            </w:r>
            <w:r w:rsidR="00A400BB"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Federation subject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Astrakhan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center of other nearest Federation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Volgograd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27E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E672D3" w:rsidRDefault="0023227E" w:rsidP="0001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E113C4" w:rsidRDefault="00A400BB" w:rsidP="00014A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 xml:space="preserve">From the Kazakhstan border 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523CFB" w:rsidRDefault="00523CFB" w:rsidP="0044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</w:t>
            </w:r>
            <w:r w:rsidR="0044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523CFB" w:rsidRDefault="009511E9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highway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r w:rsidRPr="00E113C4">
              <w:rPr>
                <w:rFonts w:ascii="Times New Roman" w:hAnsi="Times New Roman" w:cs="Times New Roman"/>
                <w:lang w:val="en-US"/>
              </w:rPr>
              <w:t>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railway (station 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A4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napToGri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airport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Narimanovo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river port, the dock Astrakhan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Marine port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The distance to the nearest housing construction (km)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tabs>
                <w:tab w:val="center" w:pos="1766"/>
                <w:tab w:val="right" w:pos="353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Proper transport communications</w:t>
            </w:r>
            <w:r w:rsidRPr="00E113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Presence 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Automobile road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0A412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Directly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parcel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an asphalt road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roads is possible from 2 sides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Railway branch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Port, dock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0A412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Automatic telephone station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JSC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Rostelecom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 is a free capacity, the mobile connection of four operators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possibility of access</w:t>
            </w:r>
          </w:p>
        </w:tc>
      </w:tr>
      <w:tr w:rsidR="00523CFB" w:rsidRPr="00FB588C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0A412C" w:rsidP="000A41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Perimeter fence of the</w:t>
            </w:r>
            <w:r w:rsidR="00523CFB" w:rsidRPr="00E113C4">
              <w:rPr>
                <w:rFonts w:ascii="Times New Roman" w:hAnsi="Times New Roman" w:cs="Times New Roman"/>
                <w:b/>
                <w:lang w:val="en-US"/>
              </w:rPr>
              <w:t xml:space="preserve"> area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FB588C" w:rsidRDefault="00523CFB" w:rsidP="00FB588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territory is bordered with the </w:t>
            </w:r>
            <w:r w:rsidR="00FB5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reinforced fence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Documents of title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FB588C" w:rsidRDefault="00FB588C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 property</w:t>
            </w:r>
          </w:p>
        </w:tc>
      </w:tr>
      <w:tr w:rsidR="00E672D3" w:rsidRPr="00E672D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FB588C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FB588C" w:rsidRPr="00FB588C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Engineering infrastructure characteristics</w:t>
            </w:r>
            <w:r w:rsidR="00FB588C"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082D53" w:rsidRPr="00E672D3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Infrastructure type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Measurement unit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Capacity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Description (installation type) or the distance to the nearest source</w:t>
            </w:r>
          </w:p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 </w:t>
            </w:r>
            <w:r w:rsidRPr="00E113C4">
              <w:rPr>
                <w:rFonts w:ascii="Times New Roman" w:hAnsi="Times New Roman" w:cs="Times New Roman"/>
                <w:i/>
              </w:rPr>
              <w:t>(</w:t>
            </w:r>
            <w:r w:rsidRPr="00E113C4">
              <w:rPr>
                <w:rFonts w:ascii="Times New Roman" w:hAnsi="Times New Roman" w:cs="Times New Roman"/>
                <w:i/>
                <w:lang w:val="en-US"/>
              </w:rPr>
              <w:t>affiliation</w:t>
            </w:r>
            <w:r w:rsidRPr="00E113C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82D5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lastRenderedPageBreak/>
              <w:t>Electrical energy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06745F" w:rsidRDefault="00082D53" w:rsidP="000A412C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Available for construction capacity is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 providing electricity it is required the construction of HVL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 with the length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</w:t>
            </w:r>
            <w:proofErr w:type="gramStart"/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,5</w:t>
            </w:r>
            <w:proofErr w:type="gramEnd"/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km and installing of </w:t>
            </w:r>
            <w:r w:rsidR="000A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electrical substation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class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electrical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supply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4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0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72D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Water supply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8E7B30" w:rsidP="00202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DAB">
              <w:rPr>
                <w:lang w:val="en-US"/>
              </w:rPr>
              <w:t>m</w:t>
            </w:r>
            <w:r w:rsidRPr="001A4DAB">
              <w:rPr>
                <w:vertAlign w:val="superscript"/>
              </w:rPr>
              <w:t>3</w:t>
            </w:r>
            <w:r w:rsidRPr="001A4DAB">
              <w:t>/</w:t>
            </w:r>
            <w:r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2020D5" w:rsidP="00014A92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06745F" w:rsidRDefault="0006745F" w:rsidP="000A412C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426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approaches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-18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proprietor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JSC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Astrvod</w:t>
            </w:r>
            <w:proofErr w:type="spellEnd"/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available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construction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D55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cubed</w:t>
            </w:r>
            <w:proofErr w:type="gramEnd"/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55D3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proofErr w:type="gramEnd"/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required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</w:t>
            </w:r>
            <w:r w:rsidR="000A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supply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tubes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object</w:t>
            </w:r>
            <w:r w:rsidR="009C76C9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76C9" w:rsidRPr="00595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C76C9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63612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  <w:r w:rsidR="009C76C9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 with the length of</w:t>
            </w:r>
            <w:r w:rsidR="009C76C9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63612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9C76C9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F63612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installation of water collector and</w:t>
            </w:r>
            <w:r w:rsidR="00F63612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isolation valve</w:t>
            </w:r>
            <w:r w:rsidR="00F63612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55D3C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672D3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Canalization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8E7B30" w:rsidP="00202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DAB">
              <w:rPr>
                <w:lang w:val="en-US"/>
              </w:rPr>
              <w:t>m</w:t>
            </w:r>
            <w:r w:rsidRPr="001A4DAB">
              <w:rPr>
                <w:vertAlign w:val="superscript"/>
              </w:rPr>
              <w:t>3</w:t>
            </w:r>
            <w:r w:rsidRPr="001A4DAB">
              <w:t>/</w:t>
            </w:r>
            <w:r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2020D5" w:rsidP="00014A92">
            <w:pPr>
              <w:spacing w:after="0" w:line="240" w:lineRule="auto"/>
              <w:ind w:right="252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1D2C14" w:rsidRDefault="00624BDC" w:rsidP="000A41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canalization</w:t>
            </w:r>
            <w:proofErr w:type="gramEnd"/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functioning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necessary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624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canalization system with an automatic flow tanks. It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possible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the canalization system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proprietor of which is the owner of the neighboring territory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 closest distance there is a canalization flow tank of UME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Krasnoyarzhilcommunhoz</w:t>
            </w:r>
            <w:proofErr w:type="spellEnd"/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».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Available capacity is 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cubed meter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  <w:r w:rsidR="000A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D2C14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 xml:space="preserve">Gas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8E7B30" w:rsidP="001D2C14">
            <w:pPr>
              <w:jc w:val="center"/>
              <w:rPr>
                <w:rFonts w:ascii="Times New Roman" w:hAnsi="Times New Roman" w:cs="Times New Roman"/>
              </w:rPr>
            </w:pPr>
            <w:r w:rsidRPr="001A4DAB">
              <w:rPr>
                <w:lang w:val="en-US"/>
              </w:rPr>
              <w:t>m</w:t>
            </w:r>
            <w:r w:rsidRPr="001A4DAB">
              <w:rPr>
                <w:vertAlign w:val="superscript"/>
              </w:rPr>
              <w:t>3</w:t>
            </w:r>
            <w:r w:rsidRPr="001A4DAB">
              <w:t>/</w:t>
            </w:r>
            <w:r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1D2C14" w:rsidRDefault="001D2C14" w:rsidP="00B353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settlement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Krasniy</w:t>
            </w:r>
            <w:proofErr w:type="spell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Yar</w:t>
            </w:r>
            <w:proofErr w:type="spell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village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completely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gasified</w:t>
            </w:r>
            <w:proofErr w:type="gram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According to the technical conditions the gasification is possible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Along the reinforced concrete border 2 m higher 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Sovetskaya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There is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gaspipeline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r w:rsidR="00B353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pressure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0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mm, the pressure in networks is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kgs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sq.sm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(0,3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MPa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E672D3" w:rsidRPr="00072328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3.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proposals in the ground use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E672D3" w:rsidRPr="00072328" w:rsidTr="00B52F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</w:p>
        </w:tc>
        <w:tc>
          <w:tcPr>
            <w:tcW w:w="92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072328" w:rsidP="000723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for construction and organization of activity of vegetable processing plant and of hothouse complex</w:t>
            </w:r>
          </w:p>
        </w:tc>
      </w:tr>
      <w:tr w:rsidR="00E672D3" w:rsidRPr="00072328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4.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The basic parameters of located objects at the ground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2A2B31" w:rsidTr="002A2B31">
        <w:trPr>
          <w:gridAfter w:val="1"/>
          <w:wAfter w:w="34" w:type="dxa"/>
          <w:trHeight w:val="34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Building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title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Square</w:t>
            </w:r>
          </w:p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Stores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Store height,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material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extent wear level 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Extend possibility</w:t>
            </w:r>
          </w:p>
        </w:tc>
      </w:tr>
      <w:tr w:rsidR="00E672D3" w:rsidRPr="00E672D3" w:rsidTr="002A2B31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870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672D3" w:rsidRPr="002A2B31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2A2B31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5. </w:t>
            </w:r>
            <w:r w:rsidR="002A2B31">
              <w:rPr>
                <w:b/>
                <w:caps/>
                <w:lang w:val="en-US"/>
              </w:rPr>
              <w:t xml:space="preserve"> </w:t>
            </w:r>
            <w:r w:rsidR="002A2B31" w:rsidRPr="002A2B31">
              <w:rPr>
                <w:rFonts w:ascii="Times New Roman" w:hAnsi="Times New Roman" w:cs="Times New Roman"/>
                <w:b/>
                <w:caps/>
                <w:lang w:val="en-US"/>
              </w:rPr>
              <w:t>Additional information about the ground</w:t>
            </w:r>
            <w:r w:rsidR="002A2B31"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category, functional zone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Settlement lands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tax 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415458" w:rsidRDefault="002A2B31" w:rsidP="002A2B31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2A2B31">
              <w:rPr>
                <w:rFonts w:ascii="Times New Roman" w:hAnsi="Times New Roman" w:cs="Times New Roman"/>
                <w:lang w:val="en-US"/>
              </w:rPr>
              <w:t>1</w:t>
            </w:r>
            <w:proofErr w:type="gramStart"/>
            <w:r w:rsidRPr="002A2B31">
              <w:rPr>
                <w:rFonts w:ascii="Times New Roman" w:hAnsi="Times New Roman" w:cs="Times New Roman"/>
                <w:lang w:val="en-US"/>
              </w:rPr>
              <w:t>,5</w:t>
            </w:r>
            <w:proofErr w:type="gramEnd"/>
            <w:r w:rsidRPr="002A2B31">
              <w:rPr>
                <w:rFonts w:ascii="Times New Roman" w:hAnsi="Times New Roman" w:cs="Times New Roman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cadastral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value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cadastral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value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sq</w:t>
            </w:r>
            <w:r w:rsidRPr="002A2B3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End"/>
            <w:r w:rsidRPr="002A2B3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2B31">
              <w:rPr>
                <w:rFonts w:ascii="Times New Roman" w:hAnsi="Times New Roman" w:cs="Times New Roman"/>
                <w:lang w:val="en-US"/>
              </w:rPr>
              <w:t>88,23</w:t>
            </w:r>
            <w:r>
              <w:rPr>
                <w:rFonts w:ascii="Times New Roman" w:hAnsi="Times New Roman" w:cs="Times New Roman"/>
                <w:lang w:val="en-US"/>
              </w:rPr>
              <w:t>rub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15458">
              <w:rPr>
                <w:rFonts w:ascii="Times New Roman" w:hAnsi="Times New Roman" w:cs="Times New Roman"/>
              </w:rPr>
              <w:t xml:space="preserve">(88,23 х 28822 х 1,5%= 38145 </w:t>
            </w:r>
            <w:r>
              <w:rPr>
                <w:rFonts w:ascii="Times New Roman" w:hAnsi="Times New Roman" w:cs="Times New Roman"/>
                <w:lang w:val="en-US"/>
              </w:rPr>
              <w:t>rub per year)</w:t>
            </w:r>
          </w:p>
        </w:tc>
      </w:tr>
      <w:tr w:rsidR="002A2B31" w:rsidRPr="002A2B31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Rent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2A2B31" w:rsidRDefault="002A2B31" w:rsidP="000A41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cost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defined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according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evaluation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rent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cost</w:t>
            </w:r>
            <w:r w:rsidRPr="002A2B3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due to the fact </w:t>
            </w:r>
            <w:r w:rsidR="000C4FF3">
              <w:rPr>
                <w:rFonts w:ascii="Times New Roman" w:hAnsi="Times New Roman" w:cs="Times New Roman"/>
                <w:lang w:val="en-US"/>
              </w:rPr>
              <w:t>that</w:t>
            </w:r>
            <w:proofErr w:type="gramEnd"/>
            <w:r w:rsidR="000C4FF3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0A412C">
              <w:rPr>
                <w:rFonts w:ascii="Times New Roman" w:hAnsi="Times New Roman" w:cs="Times New Roman"/>
                <w:lang w:val="en-US"/>
              </w:rPr>
              <w:t>land parcel</w:t>
            </w:r>
            <w:r w:rsidR="000C4FF3">
              <w:rPr>
                <w:rFonts w:ascii="Times New Roman" w:hAnsi="Times New Roman" w:cs="Times New Roman"/>
                <w:lang w:val="en-US"/>
              </w:rPr>
              <w:t xml:space="preserve"> is in municipal property</w:t>
            </w:r>
            <w:r w:rsidRPr="002A2B3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C020E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0E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Permissive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urban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planning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documentation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0C4FF3" w:rsidRDefault="000C4FF3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  <w:tr w:rsidR="00E672D3" w:rsidRPr="000C4FF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C4FF3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6. </w:t>
            </w:r>
            <w:r w:rsidR="000C4FF3">
              <w:rPr>
                <w:b/>
                <w:caps/>
                <w:lang w:val="en-US"/>
              </w:rPr>
              <w:t xml:space="preserve"> </w:t>
            </w:r>
            <w:r w:rsidR="000C4FF3" w:rsidRPr="000C4FF3">
              <w:rPr>
                <w:rFonts w:ascii="Times New Roman" w:hAnsi="Times New Roman" w:cs="Times New Roman"/>
                <w:b/>
                <w:caps/>
                <w:lang w:val="en-US"/>
              </w:rPr>
              <w:t>information about the ground owner (proprietor)</w:t>
            </w: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0C4FF3" w:rsidRPr="000C4FF3" w:rsidTr="00B52FB6">
        <w:trPr>
          <w:trHeight w:val="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Owner</w:t>
            </w:r>
            <w:r w:rsidRPr="00E113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0C4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C4FF3" w:rsidRPr="000C4FF3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Juridical address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0C4FF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B8C">
              <w:rPr>
                <w:rFonts w:ascii="Times New Roman" w:hAnsi="Times New Roman" w:cs="Times New Roman"/>
                <w:lang w:val="en-US"/>
              </w:rPr>
              <w:t xml:space="preserve">Bld. 1,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Sovetskaya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str.,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Krasniy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village,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Krasnoyarskiy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district, Astrakhan region</w:t>
            </w:r>
          </w:p>
        </w:tc>
      </w:tr>
      <w:tr w:rsidR="000C4FF3" w:rsidRPr="000C4FF3" w:rsidTr="00B52FB6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person:</w:t>
            </w:r>
          </w:p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(post, name, surname)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0C4FF3">
            <w:pPr>
              <w:ind w:righ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B8C">
              <w:rPr>
                <w:rFonts w:ascii="Times New Roman" w:hAnsi="Times New Roman" w:cs="Times New Roman"/>
                <w:lang w:val="en-US"/>
              </w:rPr>
              <w:t>The head of the financial economic department of administration of MU «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Krasnoyarskiy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district»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Yaksibaev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Eduard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Albertovitch</w:t>
            </w:r>
            <w:proofErr w:type="spellEnd"/>
          </w:p>
        </w:tc>
      </w:tr>
      <w:tr w:rsidR="000C4FF3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telephones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8(85146) 91-5-24</w:t>
            </w:r>
          </w:p>
        </w:tc>
      </w:tr>
      <w:tr w:rsidR="00035851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51" w:rsidRPr="00E2096F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113C4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</w:rPr>
              <w:t>е</w:t>
            </w:r>
            <w:r w:rsidRPr="00E113C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2096F" w:rsidRDefault="00693DB6" w:rsidP="00014A9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yaksed</w:t>
              </w:r>
              <w:r w:rsidR="00031B8C" w:rsidRPr="00D71584">
                <w:rPr>
                  <w:rStyle w:val="a3"/>
                  <w:sz w:val="20"/>
                  <w:szCs w:val="20"/>
                </w:rPr>
                <w:t>@</w:t>
              </w:r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031B8C" w:rsidRPr="00D715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672D3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2096F" w:rsidRDefault="00E672D3" w:rsidP="00014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C4FF3" w:rsidP="000358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District website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20B9" w:rsidRDefault="00693DB6" w:rsidP="0003585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20B9" w:rsidRPr="00E120B9">
                <w:rPr>
                  <w:rStyle w:val="a3"/>
                  <w:rFonts w:ascii="Times New Roman" w:hAnsi="Times New Roman" w:cs="Times New Roman"/>
                </w:rPr>
                <w:t>http://krasniyar.ru/</w:t>
              </w:r>
            </w:hyperlink>
          </w:p>
        </w:tc>
      </w:tr>
      <w:tr w:rsidR="000C4FF3" w:rsidRPr="000C4FF3" w:rsidTr="00B52F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Property category of land and buildings (ownership, rent, etc.)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0C4FF3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 property</w:t>
            </w:r>
          </w:p>
          <w:p w:rsidR="000C4FF3" w:rsidRPr="000C4FF3" w:rsidRDefault="000C4FF3" w:rsidP="0096618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C4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property or to rent it </w:t>
            </w:r>
            <w:r w:rsidR="0096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96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auction in market evaluation</w:t>
            </w:r>
          </w:p>
        </w:tc>
      </w:tr>
    </w:tbl>
    <w:p w:rsidR="0068670F" w:rsidRPr="0096618E" w:rsidRDefault="009F44A8" w:rsidP="00693D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We propose for realization the idea of construction and organization of </w:t>
      </w:r>
      <w:r w:rsidR="00693DB6">
        <w:rPr>
          <w:rFonts w:ascii="Times New Roman" w:hAnsi="Times New Roman" w:cs="Times New Roman"/>
          <w:sz w:val="26"/>
          <w:szCs w:val="26"/>
          <w:lang w:val="en-US" w:bidi="fa-IR"/>
        </w:rPr>
        <w:t>operation</w:t>
      </w:r>
      <w:r w:rsidR="00693DB6">
        <w:rPr>
          <w:rFonts w:ascii="Times New Roman" w:hAnsi="Times New Roman" w:cs="Times New Roman"/>
          <w:sz w:val="26"/>
          <w:szCs w:val="26"/>
          <w:lang w:val="en-US"/>
        </w:rPr>
        <w:t xml:space="preserve"> of vegetable</w:t>
      </w:r>
      <w:bookmarkStart w:id="0" w:name="_GoBack"/>
      <w:bookmarkEnd w:id="0"/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processing plant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031B8C">
        <w:rPr>
          <w:rFonts w:ascii="Times New Roman" w:hAnsi="Times New Roman" w:cs="Times New Roman"/>
          <w:sz w:val="26"/>
          <w:szCs w:val="26"/>
          <w:lang w:val="en-US"/>
        </w:rPr>
        <w:t>workhouse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>or of a modern hothouse complex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In the district center </w:t>
      </w:r>
      <w:proofErr w:type="spellStart"/>
      <w:r w:rsidR="0096618E">
        <w:rPr>
          <w:rFonts w:ascii="Times New Roman" w:hAnsi="Times New Roman" w:cs="Times New Roman"/>
          <w:sz w:val="26"/>
          <w:szCs w:val="26"/>
          <w:lang w:val="en-US"/>
        </w:rPr>
        <w:t>Krasniy</w:t>
      </w:r>
      <w:proofErr w:type="spellEnd"/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6618E">
        <w:rPr>
          <w:rFonts w:ascii="Times New Roman" w:hAnsi="Times New Roman" w:cs="Times New Roman"/>
          <w:sz w:val="26"/>
          <w:szCs w:val="26"/>
          <w:lang w:val="en-US"/>
        </w:rPr>
        <w:t>Yar</w:t>
      </w:r>
      <w:proofErr w:type="spellEnd"/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of Astrakhan region situated at 35 km from the regional center Astrakhan there is an investment </w:t>
      </w:r>
      <w:r w:rsidR="00031B8C">
        <w:rPr>
          <w:rFonts w:ascii="Times New Roman" w:hAnsi="Times New Roman" w:cs="Times New Roman"/>
          <w:sz w:val="26"/>
          <w:szCs w:val="26"/>
          <w:lang w:val="en-US"/>
        </w:rPr>
        <w:t>site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with the square of 2,9 ha at the highland area. There</w:t>
      </w:r>
      <w:r w:rsidR="0096618E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96618E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>situated</w:t>
      </w:r>
      <w:r w:rsidR="0096618E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1B8C">
        <w:rPr>
          <w:rFonts w:ascii="Times New Roman" w:hAnsi="Times New Roman" w:cs="Times New Roman"/>
          <w:sz w:val="26"/>
          <w:szCs w:val="26"/>
          <w:lang w:val="en-US"/>
        </w:rPr>
        <w:t>a former</w:t>
      </w:r>
      <w:r w:rsidR="0096618E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>canning</w:t>
      </w:r>
      <w:r w:rsidR="0096618E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>plant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At present the </w:t>
      </w:r>
      <w:proofErr w:type="gramStart"/>
      <w:r w:rsidR="0096618E">
        <w:rPr>
          <w:rFonts w:ascii="Times New Roman" w:hAnsi="Times New Roman" w:cs="Times New Roman"/>
          <w:sz w:val="26"/>
          <w:szCs w:val="26"/>
          <w:lang w:val="en-US"/>
        </w:rPr>
        <w:t>territory is bordered by the reinforced concrete fence</w:t>
      </w:r>
      <w:proofErr w:type="gramEnd"/>
      <w:r w:rsidR="00031B8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it is a ground area of municipal property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The advancement of this area is its situation in the central part of the district center</w:t>
      </w:r>
      <w:r w:rsidR="00415458" w:rsidRPr="0096618E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96618E">
        <w:rPr>
          <w:rFonts w:ascii="Times New Roman" w:hAnsi="Times New Roman" w:cs="Times New Roman"/>
          <w:sz w:val="26"/>
          <w:szCs w:val="26"/>
          <w:lang w:val="en-US"/>
        </w:rPr>
        <w:t xml:space="preserve"> and the nearest position with the communicational networks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="0096618E" w:rsidRPr="0096618E">
        <w:rPr>
          <w:rFonts w:ascii="Times New Roman" w:hAnsi="Times New Roman" w:cs="Times New Roman"/>
          <w:i/>
          <w:sz w:val="26"/>
          <w:szCs w:val="26"/>
          <w:lang w:val="en-US"/>
        </w:rPr>
        <w:t>Near this territory</w:t>
      </w:r>
      <w:r w:rsidR="00031B8C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96618E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there is a neighboring ground area, which is in an entrepreneur property with the</w:t>
      </w:r>
      <w:r w:rsid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following objects</w:t>
      </w:r>
      <w:r w:rsidR="002726A5" w:rsidRPr="0096618E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1B8C">
        <w:rPr>
          <w:rFonts w:ascii="Times New Roman" w:hAnsi="Times New Roman" w:cs="Times New Roman"/>
          <w:i/>
          <w:sz w:val="26"/>
          <w:szCs w:val="26"/>
          <w:lang w:val="en-US"/>
        </w:rPr>
        <w:t>workhouses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>canalization system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>uncomplete construction of a boiler-house</w:t>
      </w:r>
      <w:r w:rsidR="00381B14" w:rsidRPr="0096618E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constructed operating communicational ways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which are being sold together with the objects for approximately 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9 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>mln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451DDF">
        <w:rPr>
          <w:rFonts w:ascii="Times New Roman" w:hAnsi="Times New Roman" w:cs="Times New Roman"/>
          <w:i/>
          <w:sz w:val="26"/>
          <w:szCs w:val="26"/>
          <w:lang w:val="en-US"/>
        </w:rPr>
        <w:t>rub</w:t>
      </w:r>
      <w:r w:rsidR="0068670F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="00415458" w:rsidRPr="0096618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:rsidR="0020767B" w:rsidRPr="00451DDF" w:rsidRDefault="00451DDF" w:rsidP="0027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proposed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territory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agro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industrial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production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(2</w:t>
      </w:r>
      <w:proofErr w:type="gramStart"/>
      <w:r w:rsidRPr="00451DDF">
        <w:rPr>
          <w:rFonts w:ascii="Times New Roman" w:hAnsi="Times New Roman" w:cs="Times New Roman"/>
          <w:sz w:val="26"/>
          <w:szCs w:val="26"/>
          <w:lang w:val="en-US"/>
        </w:rPr>
        <w:t>,9</w:t>
      </w:r>
      <w:proofErr w:type="gramEnd"/>
      <w:r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</w:t>
      </w:r>
      <w:r w:rsidRPr="00451DDF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situated in the nearest position to the federal highway </w:t>
      </w:r>
      <w:r w:rsidR="002726A5" w:rsidRPr="009F44A8">
        <w:rPr>
          <w:rFonts w:ascii="Times New Roman" w:hAnsi="Times New Roman" w:cs="Times New Roman"/>
          <w:sz w:val="26"/>
          <w:szCs w:val="26"/>
        </w:rPr>
        <w:t>Е</w:t>
      </w:r>
      <w:r w:rsidR="002726A5" w:rsidRPr="00451DDF">
        <w:rPr>
          <w:rFonts w:ascii="Times New Roman" w:hAnsi="Times New Roman" w:cs="Times New Roman"/>
          <w:sz w:val="26"/>
          <w:szCs w:val="26"/>
          <w:lang w:val="en-US"/>
        </w:rPr>
        <w:t>-40 (</w:t>
      </w:r>
      <w:r>
        <w:rPr>
          <w:rFonts w:ascii="Times New Roman" w:hAnsi="Times New Roman" w:cs="Times New Roman"/>
          <w:sz w:val="26"/>
          <w:szCs w:val="26"/>
          <w:lang w:val="en-US"/>
        </w:rPr>
        <w:t>to Kazakhstan</w:t>
      </w:r>
      <w:r w:rsidR="002726A5" w:rsidRPr="00451DDF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entrance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territory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asphalt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approach</w:t>
      </w:r>
      <w:r w:rsidRPr="00451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ways</w:t>
      </w:r>
      <w:r w:rsidR="002726A5" w:rsidRPr="00451D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2622" w:rsidRPr="00F60A8E" w:rsidRDefault="00031B8C" w:rsidP="00031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60A8E">
        <w:rPr>
          <w:rFonts w:ascii="Times New Roman" w:hAnsi="Times New Roman" w:cs="Times New Roman"/>
          <w:sz w:val="26"/>
          <w:szCs w:val="26"/>
          <w:lang w:val="en-US"/>
        </w:rPr>
        <w:t>onstruction</w:t>
      </w:r>
      <w:r w:rsidR="00F60A8E" w:rsidRPr="00F60A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0A8E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F60A8E" w:rsidRPr="00F60A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F60A8E">
        <w:rPr>
          <w:rFonts w:ascii="Times New Roman" w:hAnsi="Times New Roman" w:cs="Times New Roman"/>
          <w:sz w:val="26"/>
          <w:szCs w:val="26"/>
          <w:lang w:val="en-US"/>
        </w:rPr>
        <w:t>vegetable</w:t>
      </w:r>
      <w:r w:rsidR="00F60A8E" w:rsidRPr="00F60A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0A8E">
        <w:rPr>
          <w:rFonts w:ascii="Times New Roman" w:hAnsi="Times New Roman" w:cs="Times New Roman"/>
          <w:sz w:val="26"/>
          <w:szCs w:val="26"/>
          <w:lang w:val="en-US"/>
        </w:rPr>
        <w:t>producing</w:t>
      </w:r>
      <w:r w:rsidR="00F60A8E" w:rsidRPr="00F60A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0A8E">
        <w:rPr>
          <w:rFonts w:ascii="Times New Roman" w:hAnsi="Times New Roman" w:cs="Times New Roman"/>
          <w:sz w:val="26"/>
          <w:szCs w:val="26"/>
          <w:lang w:val="en-US"/>
        </w:rPr>
        <w:t xml:space="preserve">plant will allow </w:t>
      </w:r>
      <w:proofErr w:type="gramStart"/>
      <w:r w:rsidR="00F60A8E">
        <w:rPr>
          <w:rFonts w:ascii="Times New Roman" w:hAnsi="Times New Roman" w:cs="Times New Roman"/>
          <w:sz w:val="26"/>
          <w:szCs w:val="26"/>
          <w:lang w:val="en-US"/>
        </w:rPr>
        <w:t>to organize</w:t>
      </w:r>
      <w:proofErr w:type="gramEnd"/>
      <w:r w:rsidR="00F60A8E">
        <w:rPr>
          <w:rFonts w:ascii="Times New Roman" w:hAnsi="Times New Roman" w:cs="Times New Roman"/>
          <w:sz w:val="26"/>
          <w:szCs w:val="26"/>
          <w:lang w:val="en-US"/>
        </w:rPr>
        <w:t xml:space="preserve"> the serious agro industrial production</w:t>
      </w:r>
      <w:r w:rsidR="00702B90" w:rsidRPr="00F60A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C16A4" w:rsidRPr="00DD0ED4" w:rsidRDefault="009F44A8" w:rsidP="009F44A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lang w:val="en-US"/>
        </w:rPr>
      </w:pPr>
      <w:r w:rsidRPr="00F60A8E">
        <w:rPr>
          <w:bCs/>
          <w:color w:val="000000"/>
          <w:sz w:val="26"/>
          <w:szCs w:val="26"/>
          <w:lang w:val="en-US"/>
        </w:rPr>
        <w:t xml:space="preserve">2. </w:t>
      </w:r>
      <w:r w:rsidR="00F60A8E">
        <w:rPr>
          <w:bCs/>
          <w:color w:val="000000"/>
          <w:sz w:val="26"/>
          <w:szCs w:val="26"/>
          <w:lang w:val="en-US"/>
        </w:rPr>
        <w:t>The average amount of vegetables grown in the close ground per 1 person in Russia is</w:t>
      </w:r>
      <w:r w:rsidRPr="00F60A8E">
        <w:rPr>
          <w:bCs/>
          <w:color w:val="000000"/>
          <w:sz w:val="26"/>
          <w:szCs w:val="26"/>
          <w:lang w:val="en-US"/>
        </w:rPr>
        <w:t xml:space="preserve"> 4</w:t>
      </w:r>
      <w:proofErr w:type="gramStart"/>
      <w:r w:rsidRPr="00F60A8E">
        <w:rPr>
          <w:bCs/>
          <w:color w:val="000000"/>
          <w:sz w:val="26"/>
          <w:szCs w:val="26"/>
          <w:lang w:val="en-US"/>
        </w:rPr>
        <w:t>,3</w:t>
      </w:r>
      <w:proofErr w:type="gramEnd"/>
      <w:r w:rsidRPr="00F60A8E">
        <w:rPr>
          <w:bCs/>
          <w:color w:val="000000"/>
          <w:sz w:val="26"/>
          <w:szCs w:val="26"/>
          <w:lang w:val="en-US"/>
        </w:rPr>
        <w:t xml:space="preserve"> </w:t>
      </w:r>
      <w:r w:rsidR="00F60A8E">
        <w:rPr>
          <w:bCs/>
          <w:color w:val="000000"/>
          <w:sz w:val="26"/>
          <w:szCs w:val="26"/>
          <w:lang w:val="en-US"/>
        </w:rPr>
        <w:t>kg</w:t>
      </w:r>
      <w:r w:rsidRPr="00F60A8E">
        <w:rPr>
          <w:bCs/>
          <w:color w:val="000000"/>
          <w:sz w:val="26"/>
          <w:szCs w:val="26"/>
          <w:lang w:val="en-US"/>
        </w:rPr>
        <w:t xml:space="preserve">. </w:t>
      </w:r>
      <w:proofErr w:type="gramStart"/>
      <w:r w:rsidR="00F60A8E">
        <w:rPr>
          <w:bCs/>
          <w:color w:val="000000"/>
          <w:sz w:val="26"/>
          <w:szCs w:val="26"/>
          <w:lang w:val="en-US"/>
        </w:rPr>
        <w:t>the</w:t>
      </w:r>
      <w:proofErr w:type="gramEnd"/>
      <w:r w:rsidR="00F60A8E">
        <w:rPr>
          <w:bCs/>
          <w:color w:val="000000"/>
          <w:sz w:val="26"/>
          <w:szCs w:val="26"/>
          <w:lang w:val="en-US"/>
        </w:rPr>
        <w:t xml:space="preserve"> vegetables of the closed ground in total production amount are up</w:t>
      </w:r>
      <w:r w:rsidR="00F60A8E">
        <w:rPr>
          <w:color w:val="000000"/>
          <w:sz w:val="26"/>
          <w:szCs w:val="26"/>
          <w:lang w:val="en-US"/>
        </w:rPr>
        <w:t xml:space="preserve"> to</w:t>
      </w:r>
      <w:r w:rsidRPr="00F60A8E">
        <w:rPr>
          <w:color w:val="000000"/>
          <w:sz w:val="26"/>
          <w:szCs w:val="26"/>
          <w:lang w:val="en-US"/>
        </w:rPr>
        <w:t xml:space="preserve"> 5-6%. </w:t>
      </w:r>
      <w:r w:rsidR="00F60A8E">
        <w:rPr>
          <w:color w:val="000000"/>
          <w:sz w:val="26"/>
          <w:szCs w:val="26"/>
          <w:lang w:val="en-US"/>
        </w:rPr>
        <w:t>For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providing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the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minimum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medical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norm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of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fresh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hothouse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vegetables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consumption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norm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their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annual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total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harvest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needs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to</w:t>
      </w:r>
      <w:r w:rsidR="00F60A8E" w:rsidRPr="00F60A8E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be</w:t>
      </w:r>
      <w:r w:rsidRPr="00F60A8E">
        <w:rPr>
          <w:bCs/>
          <w:color w:val="000000"/>
          <w:sz w:val="26"/>
          <w:szCs w:val="26"/>
          <w:lang w:val="en-US"/>
        </w:rPr>
        <w:t xml:space="preserve"> 2</w:t>
      </w:r>
      <w:proofErr w:type="gramStart"/>
      <w:r w:rsidRPr="00F60A8E">
        <w:rPr>
          <w:bCs/>
          <w:color w:val="000000"/>
          <w:sz w:val="26"/>
          <w:szCs w:val="26"/>
          <w:lang w:val="en-US"/>
        </w:rPr>
        <w:t>,5</w:t>
      </w:r>
      <w:proofErr w:type="gramEnd"/>
      <w:r w:rsidRPr="00F60A8E">
        <w:rPr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="00F60A8E">
        <w:rPr>
          <w:bCs/>
          <w:color w:val="000000"/>
          <w:sz w:val="26"/>
          <w:szCs w:val="26"/>
          <w:lang w:val="en-US"/>
        </w:rPr>
        <w:t>mln</w:t>
      </w:r>
      <w:r w:rsidRPr="00F60A8E">
        <w:rPr>
          <w:bCs/>
          <w:color w:val="000000"/>
          <w:sz w:val="26"/>
          <w:szCs w:val="26"/>
          <w:lang w:val="en-US"/>
        </w:rPr>
        <w:t>.</w:t>
      </w:r>
      <w:r w:rsidR="00F60A8E">
        <w:rPr>
          <w:bCs/>
          <w:color w:val="000000"/>
          <w:sz w:val="26"/>
          <w:szCs w:val="26"/>
          <w:lang w:val="en-US"/>
        </w:rPr>
        <w:t>tones</w:t>
      </w:r>
      <w:proofErr w:type="spellEnd"/>
      <w:r w:rsidRPr="00F60A8E">
        <w:rPr>
          <w:bCs/>
          <w:color w:val="000000"/>
          <w:sz w:val="26"/>
          <w:szCs w:val="26"/>
          <w:lang w:val="en-US"/>
        </w:rPr>
        <w:t xml:space="preserve">. </w:t>
      </w:r>
      <w:r w:rsidR="00F60A8E">
        <w:rPr>
          <w:bCs/>
          <w:color w:val="000000"/>
          <w:sz w:val="26"/>
          <w:szCs w:val="26"/>
          <w:lang w:val="en-US"/>
        </w:rPr>
        <w:t xml:space="preserve">At the same time the native hothouse production gives now only </w:t>
      </w:r>
      <w:r w:rsidRPr="00F60A8E">
        <w:rPr>
          <w:bCs/>
          <w:color w:val="000000"/>
          <w:sz w:val="26"/>
          <w:szCs w:val="26"/>
          <w:lang w:val="en-US"/>
        </w:rPr>
        <w:t xml:space="preserve">630 </w:t>
      </w:r>
      <w:r w:rsidR="00F60A8E">
        <w:rPr>
          <w:bCs/>
          <w:color w:val="000000"/>
          <w:sz w:val="26"/>
          <w:szCs w:val="26"/>
          <w:lang w:val="en-US"/>
        </w:rPr>
        <w:t>thousand of tones</w:t>
      </w:r>
      <w:r w:rsidRPr="00F60A8E">
        <w:rPr>
          <w:bCs/>
          <w:color w:val="000000"/>
          <w:sz w:val="26"/>
          <w:szCs w:val="26"/>
          <w:lang w:val="en-US"/>
        </w:rPr>
        <w:t xml:space="preserve">. </w:t>
      </w:r>
      <w:r w:rsidR="00F60A8E">
        <w:rPr>
          <w:bCs/>
          <w:color w:val="000000"/>
          <w:sz w:val="26"/>
          <w:szCs w:val="26"/>
          <w:lang w:val="en-US"/>
        </w:rPr>
        <w:t>The part of the import production in Russia at the market of fresh vegetables is approximately</w:t>
      </w:r>
      <w:r w:rsidRPr="00F60A8E">
        <w:rPr>
          <w:color w:val="000000"/>
          <w:sz w:val="26"/>
          <w:szCs w:val="26"/>
          <w:lang w:val="en-US"/>
        </w:rPr>
        <w:t xml:space="preserve"> 50%, </w:t>
      </w:r>
      <w:r w:rsidR="00F60A8E">
        <w:rPr>
          <w:color w:val="000000"/>
          <w:sz w:val="26"/>
          <w:szCs w:val="26"/>
          <w:lang w:val="en-US"/>
        </w:rPr>
        <w:t>in winter-spring period it reaches</w:t>
      </w:r>
      <w:r w:rsidRPr="00F60A8E">
        <w:rPr>
          <w:color w:val="000000"/>
          <w:sz w:val="26"/>
          <w:szCs w:val="26"/>
          <w:lang w:val="en-US"/>
        </w:rPr>
        <w:t xml:space="preserve"> 80-85%. </w:t>
      </w:r>
      <w:r w:rsidR="00F60A8E">
        <w:rPr>
          <w:color w:val="000000"/>
          <w:sz w:val="26"/>
          <w:szCs w:val="26"/>
          <w:lang w:val="en-US"/>
        </w:rPr>
        <w:t>The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internal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demand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for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the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hothouse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production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is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satisfied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F60A8E">
        <w:rPr>
          <w:color w:val="000000"/>
          <w:sz w:val="26"/>
          <w:szCs w:val="26"/>
          <w:lang w:val="en-US"/>
        </w:rPr>
        <w:t>by</w:t>
      </w:r>
      <w:r w:rsidR="00F60A8E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hothouse</w:t>
      </w:r>
      <w:r w:rsidR="00D3090D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vegetables</w:t>
      </w:r>
      <w:r w:rsidR="00D3090D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only</w:t>
      </w:r>
      <w:r w:rsidR="00D3090D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for</w:t>
      </w:r>
      <w:r w:rsidR="00D3090D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a</w:t>
      </w:r>
      <w:r w:rsidR="00D3090D" w:rsidRPr="00D3090D">
        <w:rPr>
          <w:color w:val="000000"/>
          <w:sz w:val="26"/>
          <w:szCs w:val="26"/>
          <w:lang w:val="en-US"/>
        </w:rPr>
        <w:t xml:space="preserve"> </w:t>
      </w:r>
      <w:r w:rsidR="00D3090D">
        <w:rPr>
          <w:color w:val="000000"/>
          <w:sz w:val="26"/>
          <w:szCs w:val="26"/>
          <w:lang w:val="en-US"/>
        </w:rPr>
        <w:t>half</w:t>
      </w:r>
      <w:r w:rsidRPr="00D3090D">
        <w:rPr>
          <w:bCs/>
          <w:color w:val="000000"/>
          <w:sz w:val="26"/>
          <w:szCs w:val="26"/>
          <w:lang w:val="en-US"/>
        </w:rPr>
        <w:t xml:space="preserve">, </w:t>
      </w:r>
      <w:r w:rsidR="00D3090D">
        <w:rPr>
          <w:bCs/>
          <w:color w:val="000000"/>
          <w:sz w:val="26"/>
          <w:szCs w:val="26"/>
          <w:lang w:val="en-US"/>
        </w:rPr>
        <w:t>and it means that the potential volume of the hothouse market in Russia is two times higher the present scale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r w:rsidR="00D3090D">
        <w:rPr>
          <w:bCs/>
          <w:color w:val="000000"/>
          <w:sz w:val="26"/>
          <w:szCs w:val="26"/>
          <w:lang w:val="en-US"/>
        </w:rPr>
        <w:t>We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can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develop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it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by pushing out the import production from the market and by changing it to the ecologically clean native vegetable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r w:rsidR="00D3090D">
        <w:rPr>
          <w:bCs/>
          <w:color w:val="000000"/>
          <w:sz w:val="26"/>
          <w:szCs w:val="26"/>
          <w:lang w:val="en-US"/>
        </w:rPr>
        <w:t>The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biggest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part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of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the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native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operating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hothouses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is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concentrated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 xml:space="preserve">in Central and </w:t>
      </w:r>
      <w:proofErr w:type="spellStart"/>
      <w:r w:rsidR="00D3090D">
        <w:rPr>
          <w:bCs/>
          <w:color w:val="000000"/>
          <w:sz w:val="26"/>
          <w:szCs w:val="26"/>
          <w:lang w:val="en-US"/>
        </w:rPr>
        <w:t>Privolzheskiy</w:t>
      </w:r>
      <w:proofErr w:type="spellEnd"/>
      <w:r w:rsidR="00D3090D">
        <w:rPr>
          <w:bCs/>
          <w:color w:val="000000"/>
          <w:sz w:val="26"/>
          <w:szCs w:val="26"/>
          <w:lang w:val="en-US"/>
        </w:rPr>
        <w:t xml:space="preserve"> Federal regions</w:t>
      </w:r>
      <w:r w:rsidRPr="00D3090D">
        <w:rPr>
          <w:bCs/>
          <w:color w:val="000000"/>
          <w:sz w:val="26"/>
          <w:szCs w:val="26"/>
          <w:lang w:val="en-US"/>
        </w:rPr>
        <w:t xml:space="preserve"> – 33% </w:t>
      </w:r>
      <w:r w:rsidR="00D3090D">
        <w:rPr>
          <w:bCs/>
          <w:color w:val="000000"/>
          <w:sz w:val="26"/>
          <w:szCs w:val="26"/>
          <w:lang w:val="en-US"/>
        </w:rPr>
        <w:t>and</w:t>
      </w:r>
      <w:r w:rsidRPr="00D3090D">
        <w:rPr>
          <w:bCs/>
          <w:color w:val="000000"/>
          <w:sz w:val="26"/>
          <w:szCs w:val="26"/>
          <w:lang w:val="en-US"/>
        </w:rPr>
        <w:t xml:space="preserve"> 22% </w:t>
      </w:r>
      <w:r w:rsidR="00D3090D">
        <w:rPr>
          <w:bCs/>
          <w:color w:val="000000"/>
          <w:sz w:val="26"/>
          <w:szCs w:val="26"/>
          <w:lang w:val="en-US"/>
        </w:rPr>
        <w:t>correspondingly</w:t>
      </w:r>
      <w:r w:rsidRPr="00D3090D">
        <w:rPr>
          <w:bCs/>
          <w:color w:val="000000"/>
          <w:sz w:val="26"/>
          <w:szCs w:val="26"/>
          <w:lang w:val="en-US"/>
        </w:rPr>
        <w:t>,</w:t>
      </w:r>
      <w:r w:rsidR="00D3090D">
        <w:rPr>
          <w:bCs/>
          <w:color w:val="000000"/>
          <w:sz w:val="26"/>
          <w:szCs w:val="26"/>
          <w:lang w:val="en-US"/>
        </w:rPr>
        <w:t xml:space="preserve"> the lest number is in North-</w:t>
      </w:r>
      <w:proofErr w:type="spellStart"/>
      <w:r w:rsidR="00D3090D">
        <w:rPr>
          <w:bCs/>
          <w:color w:val="000000"/>
          <w:sz w:val="26"/>
          <w:szCs w:val="26"/>
          <w:lang w:val="en-US"/>
        </w:rPr>
        <w:t>Westen</w:t>
      </w:r>
      <w:proofErr w:type="spellEnd"/>
      <w:r w:rsidR="00D3090D">
        <w:rPr>
          <w:bCs/>
          <w:color w:val="000000"/>
          <w:sz w:val="26"/>
          <w:szCs w:val="26"/>
          <w:lang w:val="en-US"/>
        </w:rPr>
        <w:t xml:space="preserve"> region</w:t>
      </w:r>
      <w:r w:rsidRPr="00D3090D">
        <w:rPr>
          <w:bCs/>
          <w:color w:val="000000"/>
          <w:sz w:val="26"/>
          <w:szCs w:val="26"/>
          <w:lang w:val="en-US"/>
        </w:rPr>
        <w:t xml:space="preserve"> – 6% </w:t>
      </w:r>
      <w:r w:rsidR="00D3090D">
        <w:rPr>
          <w:bCs/>
          <w:color w:val="000000"/>
          <w:sz w:val="26"/>
          <w:szCs w:val="26"/>
          <w:lang w:val="en-US"/>
        </w:rPr>
        <w:t>hothouses complexes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r w:rsidR="00D3090D">
        <w:rPr>
          <w:bCs/>
          <w:color w:val="000000"/>
          <w:sz w:val="26"/>
          <w:szCs w:val="26"/>
          <w:lang w:val="en-US"/>
        </w:rPr>
        <w:t xml:space="preserve">The part of the South Federal region, </w:t>
      </w:r>
      <w:proofErr w:type="spellStart"/>
      <w:r w:rsidR="00D3090D">
        <w:rPr>
          <w:bCs/>
          <w:color w:val="000000"/>
          <w:sz w:val="26"/>
          <w:szCs w:val="26"/>
          <w:lang w:val="en-US"/>
        </w:rPr>
        <w:t>inspite</w:t>
      </w:r>
      <w:proofErr w:type="spellEnd"/>
      <w:r w:rsidR="00D3090D">
        <w:rPr>
          <w:bCs/>
          <w:color w:val="000000"/>
          <w:sz w:val="26"/>
          <w:szCs w:val="26"/>
          <w:lang w:val="en-US"/>
        </w:rPr>
        <w:t xml:space="preserve"> of the most attractive conditions for annual growth of plants in the closed ground now is only</w:t>
      </w:r>
      <w:r w:rsidRPr="00D3090D">
        <w:rPr>
          <w:bCs/>
          <w:color w:val="000000"/>
          <w:sz w:val="26"/>
          <w:szCs w:val="26"/>
          <w:lang w:val="en-US"/>
        </w:rPr>
        <w:t xml:space="preserve"> 8% </w:t>
      </w:r>
      <w:r w:rsidR="00D3090D">
        <w:rPr>
          <w:bCs/>
          <w:color w:val="000000"/>
          <w:sz w:val="26"/>
          <w:szCs w:val="26"/>
          <w:lang w:val="en-US"/>
        </w:rPr>
        <w:t>among Russian hothouse complexes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r w:rsidR="00D3090D">
        <w:rPr>
          <w:bCs/>
          <w:color w:val="000000"/>
          <w:sz w:val="26"/>
          <w:szCs w:val="26"/>
          <w:lang w:val="en-US"/>
        </w:rPr>
        <w:t xml:space="preserve">For being competitive the native hothouse complexes with vegetables specialization need to grow </w:t>
      </w:r>
      <w:r w:rsidRPr="00D3090D">
        <w:rPr>
          <w:bCs/>
          <w:color w:val="000000"/>
          <w:sz w:val="26"/>
          <w:szCs w:val="26"/>
          <w:lang w:val="en-US"/>
        </w:rPr>
        <w:t xml:space="preserve">50-60 </w:t>
      </w:r>
      <w:r w:rsidR="00D3090D">
        <w:rPr>
          <w:bCs/>
          <w:color w:val="000000"/>
          <w:sz w:val="26"/>
          <w:szCs w:val="26"/>
          <w:lang w:val="en-US"/>
        </w:rPr>
        <w:t>kg at the square meter of the closed ground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r w:rsidR="00D3090D">
        <w:rPr>
          <w:bCs/>
          <w:color w:val="000000"/>
          <w:sz w:val="26"/>
          <w:szCs w:val="26"/>
          <w:lang w:val="en-US"/>
        </w:rPr>
        <w:t>It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is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possible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only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in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modern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hothouse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complexes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with</w:t>
      </w:r>
      <w:r w:rsidR="00D3090D"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new technologies implementation</w:t>
      </w:r>
      <w:r w:rsidRPr="00D3090D">
        <w:rPr>
          <w:bCs/>
          <w:color w:val="000000"/>
          <w:sz w:val="26"/>
          <w:szCs w:val="26"/>
          <w:lang w:val="en-US"/>
        </w:rPr>
        <w:t xml:space="preserve"> (</w:t>
      </w:r>
      <w:r w:rsidR="00D3090D">
        <w:rPr>
          <w:bCs/>
          <w:color w:val="000000"/>
          <w:sz w:val="26"/>
          <w:szCs w:val="26"/>
          <w:lang w:val="en-US"/>
        </w:rPr>
        <w:t>drop watering</w:t>
      </w:r>
      <w:r w:rsidRPr="00D3090D">
        <w:rPr>
          <w:bCs/>
          <w:color w:val="000000"/>
          <w:sz w:val="26"/>
          <w:szCs w:val="26"/>
          <w:lang w:val="en-US"/>
        </w:rPr>
        <w:t xml:space="preserve">, </w:t>
      </w:r>
      <w:r w:rsidR="00D3090D">
        <w:rPr>
          <w:bCs/>
          <w:color w:val="000000"/>
          <w:sz w:val="26"/>
          <w:szCs w:val="26"/>
          <w:lang w:val="en-US"/>
        </w:rPr>
        <w:t>low volume technologies</w:t>
      </w:r>
      <w:r w:rsidRPr="00D3090D">
        <w:rPr>
          <w:bCs/>
          <w:color w:val="000000"/>
          <w:sz w:val="26"/>
          <w:szCs w:val="26"/>
          <w:lang w:val="en-US"/>
        </w:rPr>
        <w:t xml:space="preserve">, </w:t>
      </w:r>
      <w:r w:rsidR="00D3090D">
        <w:rPr>
          <w:bCs/>
          <w:color w:val="000000"/>
          <w:sz w:val="26"/>
          <w:szCs w:val="26"/>
          <w:lang w:val="en-US"/>
        </w:rPr>
        <w:t>light culture</w:t>
      </w:r>
      <w:r w:rsidRPr="00D3090D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etc</w:t>
      </w:r>
      <w:r w:rsidRPr="00D3090D">
        <w:rPr>
          <w:bCs/>
          <w:color w:val="000000"/>
          <w:sz w:val="26"/>
          <w:szCs w:val="26"/>
          <w:lang w:val="en-US"/>
        </w:rPr>
        <w:t xml:space="preserve">), </w:t>
      </w:r>
      <w:r w:rsidR="00D3090D">
        <w:rPr>
          <w:bCs/>
          <w:color w:val="000000"/>
          <w:sz w:val="26"/>
          <w:szCs w:val="26"/>
          <w:lang w:val="en-US"/>
        </w:rPr>
        <w:t>this will give a considerable effect of increasing in vegetable production profitability</w:t>
      </w:r>
      <w:r w:rsidRPr="00D3090D">
        <w:rPr>
          <w:bCs/>
          <w:color w:val="000000"/>
          <w:sz w:val="26"/>
          <w:szCs w:val="26"/>
          <w:lang w:val="en-US"/>
        </w:rPr>
        <w:t xml:space="preserve">. </w:t>
      </w:r>
      <w:proofErr w:type="gramStart"/>
      <w:r w:rsidR="00D3090D">
        <w:rPr>
          <w:bCs/>
          <w:color w:val="000000"/>
          <w:sz w:val="26"/>
          <w:szCs w:val="26"/>
          <w:lang w:val="en-US"/>
        </w:rPr>
        <w:t>So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in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the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conditions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of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permanent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growth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of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energy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tarif</w:t>
      </w:r>
      <w:r w:rsidR="002E2637">
        <w:rPr>
          <w:bCs/>
          <w:color w:val="000000"/>
          <w:sz w:val="26"/>
          <w:szCs w:val="26"/>
          <w:lang w:val="en-US"/>
        </w:rPr>
        <w:t>f</w:t>
      </w:r>
      <w:r w:rsidR="00D3090D">
        <w:rPr>
          <w:bCs/>
          <w:color w:val="000000"/>
          <w:sz w:val="26"/>
          <w:szCs w:val="26"/>
          <w:lang w:val="en-US"/>
        </w:rPr>
        <w:t>s</w:t>
      </w:r>
      <w:r w:rsidRPr="00DD0ED4">
        <w:rPr>
          <w:bCs/>
          <w:color w:val="000000"/>
          <w:sz w:val="26"/>
          <w:szCs w:val="26"/>
          <w:lang w:val="en-US"/>
        </w:rPr>
        <w:t>,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territorial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distribution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of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hothouse</w:t>
      </w:r>
      <w:r w:rsidR="00D3090D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3090D">
        <w:rPr>
          <w:bCs/>
          <w:color w:val="000000"/>
          <w:sz w:val="26"/>
          <w:szCs w:val="26"/>
          <w:lang w:val="en-US"/>
        </w:rPr>
        <w:t>complexes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in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the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most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comfortable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in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climate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conditions</w:t>
      </w:r>
      <w:r w:rsidR="00DD0ED4"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regions</w:t>
      </w:r>
      <w:r w:rsidRPr="00DD0ED4">
        <w:rPr>
          <w:bCs/>
          <w:color w:val="000000"/>
          <w:sz w:val="26"/>
          <w:szCs w:val="26"/>
          <w:lang w:val="en-US"/>
        </w:rPr>
        <w:t xml:space="preserve">, </w:t>
      </w:r>
      <w:r w:rsidR="00DD0ED4">
        <w:rPr>
          <w:bCs/>
          <w:color w:val="000000"/>
          <w:sz w:val="26"/>
          <w:szCs w:val="26"/>
          <w:lang w:val="en-US"/>
        </w:rPr>
        <w:t>to which the South Federal region corresponds</w:t>
      </w:r>
      <w:r w:rsidRPr="00DD0ED4">
        <w:rPr>
          <w:bCs/>
          <w:color w:val="000000"/>
          <w:sz w:val="26"/>
          <w:szCs w:val="26"/>
          <w:lang w:val="en-US"/>
        </w:rPr>
        <w:t xml:space="preserve">, </w:t>
      </w:r>
      <w:r w:rsidR="00DD0ED4">
        <w:rPr>
          <w:bCs/>
          <w:color w:val="000000"/>
          <w:sz w:val="26"/>
          <w:szCs w:val="26"/>
          <w:lang w:val="en-US"/>
        </w:rPr>
        <w:t>and Astrakhan region in particular</w:t>
      </w:r>
      <w:r w:rsidRPr="00DD0ED4">
        <w:rPr>
          <w:bCs/>
          <w:color w:val="000000"/>
          <w:sz w:val="26"/>
          <w:szCs w:val="26"/>
          <w:lang w:val="en-US"/>
        </w:rPr>
        <w:t>,</w:t>
      </w:r>
      <w:r w:rsidR="00DD0ED4">
        <w:rPr>
          <w:bCs/>
          <w:color w:val="000000"/>
          <w:sz w:val="26"/>
          <w:szCs w:val="26"/>
          <w:lang w:val="en-US"/>
        </w:rPr>
        <w:t xml:space="preserve"> and also taking into account that the region doesn’t have large fields places as many other regions the realization of the project of organization of a hothouse complex on production of extra early and annual vegetables is an optimal variant from the point of view of economic effectiveness</w:t>
      </w:r>
      <w:r w:rsidRPr="00DD0ED4">
        <w:rPr>
          <w:bCs/>
          <w:color w:val="000000"/>
          <w:sz w:val="26"/>
          <w:szCs w:val="26"/>
          <w:lang w:val="en-US"/>
        </w:rPr>
        <w:t>.</w:t>
      </w:r>
      <w:proofErr w:type="gramEnd"/>
      <w:r w:rsidRPr="00DD0ED4">
        <w:rPr>
          <w:bCs/>
          <w:color w:val="000000"/>
          <w:sz w:val="26"/>
          <w:szCs w:val="26"/>
          <w:lang w:val="en-US"/>
        </w:rPr>
        <w:t xml:space="preserve"> </w:t>
      </w:r>
      <w:r w:rsidR="00DD0ED4">
        <w:rPr>
          <w:bCs/>
          <w:color w:val="000000"/>
          <w:sz w:val="26"/>
          <w:szCs w:val="26"/>
          <w:lang w:val="en-US"/>
        </w:rPr>
        <w:t>According to this we propose the territory with the total square of</w:t>
      </w:r>
      <w:r w:rsidR="00031B8C">
        <w:rPr>
          <w:sz w:val="26"/>
          <w:szCs w:val="26"/>
          <w:lang w:val="en-US"/>
        </w:rPr>
        <w:t xml:space="preserve"> 2</w:t>
      </w:r>
      <w:proofErr w:type="gramStart"/>
      <w:r w:rsidR="00031B8C">
        <w:rPr>
          <w:sz w:val="26"/>
          <w:szCs w:val="26"/>
          <w:lang w:val="en-US"/>
        </w:rPr>
        <w:t>,7</w:t>
      </w:r>
      <w:proofErr w:type="gramEnd"/>
      <w:r w:rsidRPr="00DD0ED4">
        <w:rPr>
          <w:sz w:val="26"/>
          <w:szCs w:val="26"/>
          <w:lang w:val="en-US"/>
        </w:rPr>
        <w:t xml:space="preserve"> </w:t>
      </w:r>
      <w:r w:rsidR="00DD0ED4">
        <w:rPr>
          <w:sz w:val="26"/>
          <w:szCs w:val="26"/>
          <w:lang w:val="en-US"/>
        </w:rPr>
        <w:t xml:space="preserve">ha in </w:t>
      </w:r>
      <w:proofErr w:type="spellStart"/>
      <w:r w:rsidR="00DD0ED4">
        <w:rPr>
          <w:sz w:val="26"/>
          <w:szCs w:val="26"/>
          <w:lang w:val="en-US"/>
        </w:rPr>
        <w:t>Krasniy</w:t>
      </w:r>
      <w:proofErr w:type="spellEnd"/>
      <w:r w:rsidR="00DD0ED4">
        <w:rPr>
          <w:sz w:val="26"/>
          <w:szCs w:val="26"/>
          <w:lang w:val="en-US"/>
        </w:rPr>
        <w:t xml:space="preserve"> </w:t>
      </w:r>
      <w:proofErr w:type="spellStart"/>
      <w:r w:rsidR="00DD0ED4">
        <w:rPr>
          <w:sz w:val="26"/>
          <w:szCs w:val="26"/>
          <w:lang w:val="en-US"/>
        </w:rPr>
        <w:t>Yar</w:t>
      </w:r>
      <w:proofErr w:type="spellEnd"/>
      <w:r w:rsidR="00DD0ED4">
        <w:rPr>
          <w:sz w:val="26"/>
          <w:szCs w:val="26"/>
          <w:lang w:val="en-US"/>
        </w:rPr>
        <w:t xml:space="preserve"> for the modern hothouses construction</w:t>
      </w:r>
      <w:r w:rsidRPr="00DD0ED4">
        <w:rPr>
          <w:sz w:val="26"/>
          <w:szCs w:val="26"/>
          <w:lang w:val="en-US"/>
        </w:rPr>
        <w:t>.</w:t>
      </w:r>
    </w:p>
    <w:sectPr w:rsidR="006C16A4" w:rsidRPr="00DD0ED4" w:rsidSect="00014A9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1C8"/>
    <w:multiLevelType w:val="hybridMultilevel"/>
    <w:tmpl w:val="3722A5DE"/>
    <w:lvl w:ilvl="0" w:tplc="D5E42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01"/>
    <w:multiLevelType w:val="hybridMultilevel"/>
    <w:tmpl w:val="CABE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3"/>
    <w:rsid w:val="00014A92"/>
    <w:rsid w:val="0002301E"/>
    <w:rsid w:val="00026C49"/>
    <w:rsid w:val="00031B8C"/>
    <w:rsid w:val="00035851"/>
    <w:rsid w:val="000361B2"/>
    <w:rsid w:val="0006745F"/>
    <w:rsid w:val="00067D4B"/>
    <w:rsid w:val="00072328"/>
    <w:rsid w:val="00082D53"/>
    <w:rsid w:val="00084311"/>
    <w:rsid w:val="000A412C"/>
    <w:rsid w:val="000C4FF3"/>
    <w:rsid w:val="000D59BD"/>
    <w:rsid w:val="000E0B59"/>
    <w:rsid w:val="000F039F"/>
    <w:rsid w:val="000F2FBB"/>
    <w:rsid w:val="000F56F3"/>
    <w:rsid w:val="000F7120"/>
    <w:rsid w:val="00114C52"/>
    <w:rsid w:val="00162F1C"/>
    <w:rsid w:val="00170DE5"/>
    <w:rsid w:val="00180ECB"/>
    <w:rsid w:val="001A7BC2"/>
    <w:rsid w:val="001D2C14"/>
    <w:rsid w:val="001D64BB"/>
    <w:rsid w:val="001E0186"/>
    <w:rsid w:val="002020D5"/>
    <w:rsid w:val="0020437C"/>
    <w:rsid w:val="0020767B"/>
    <w:rsid w:val="0023227E"/>
    <w:rsid w:val="002421D7"/>
    <w:rsid w:val="00244ED8"/>
    <w:rsid w:val="00246CE9"/>
    <w:rsid w:val="00262622"/>
    <w:rsid w:val="002726A5"/>
    <w:rsid w:val="002867C3"/>
    <w:rsid w:val="002A2B31"/>
    <w:rsid w:val="002B19F1"/>
    <w:rsid w:val="002C58AB"/>
    <w:rsid w:val="002C7895"/>
    <w:rsid w:val="002E2637"/>
    <w:rsid w:val="002E5F12"/>
    <w:rsid w:val="00323D26"/>
    <w:rsid w:val="00381B14"/>
    <w:rsid w:val="00397D88"/>
    <w:rsid w:val="003B6861"/>
    <w:rsid w:val="003C1C41"/>
    <w:rsid w:val="003F6B06"/>
    <w:rsid w:val="004036D3"/>
    <w:rsid w:val="00415458"/>
    <w:rsid w:val="00436A5B"/>
    <w:rsid w:val="00446DC1"/>
    <w:rsid w:val="00451DDF"/>
    <w:rsid w:val="00472D38"/>
    <w:rsid w:val="004B3640"/>
    <w:rsid w:val="00503917"/>
    <w:rsid w:val="00514527"/>
    <w:rsid w:val="00523CFB"/>
    <w:rsid w:val="00592401"/>
    <w:rsid w:val="00595001"/>
    <w:rsid w:val="005A052A"/>
    <w:rsid w:val="005E676A"/>
    <w:rsid w:val="00617E39"/>
    <w:rsid w:val="00624BDC"/>
    <w:rsid w:val="00626A20"/>
    <w:rsid w:val="0068670F"/>
    <w:rsid w:val="00693DB6"/>
    <w:rsid w:val="006B6588"/>
    <w:rsid w:val="006C16A4"/>
    <w:rsid w:val="006E69A4"/>
    <w:rsid w:val="006F6928"/>
    <w:rsid w:val="00702B90"/>
    <w:rsid w:val="007226D3"/>
    <w:rsid w:val="00785646"/>
    <w:rsid w:val="007917FA"/>
    <w:rsid w:val="007A73B9"/>
    <w:rsid w:val="007B4876"/>
    <w:rsid w:val="00835155"/>
    <w:rsid w:val="008A6AA5"/>
    <w:rsid w:val="008C7460"/>
    <w:rsid w:val="008D7138"/>
    <w:rsid w:val="008E7B30"/>
    <w:rsid w:val="008E7B6A"/>
    <w:rsid w:val="008F5F8D"/>
    <w:rsid w:val="009511E9"/>
    <w:rsid w:val="0096618E"/>
    <w:rsid w:val="0097116C"/>
    <w:rsid w:val="009822F6"/>
    <w:rsid w:val="009A5E36"/>
    <w:rsid w:val="009C76C9"/>
    <w:rsid w:val="009F44A8"/>
    <w:rsid w:val="00A326F6"/>
    <w:rsid w:val="00A400BB"/>
    <w:rsid w:val="00A524D9"/>
    <w:rsid w:val="00A85D6F"/>
    <w:rsid w:val="00A8604D"/>
    <w:rsid w:val="00A957F1"/>
    <w:rsid w:val="00A976F4"/>
    <w:rsid w:val="00AD7ACA"/>
    <w:rsid w:val="00AE39AA"/>
    <w:rsid w:val="00B353E2"/>
    <w:rsid w:val="00B52FB6"/>
    <w:rsid w:val="00BB4C25"/>
    <w:rsid w:val="00BD0897"/>
    <w:rsid w:val="00BE2224"/>
    <w:rsid w:val="00C52F7D"/>
    <w:rsid w:val="00C75FF3"/>
    <w:rsid w:val="00C95F6A"/>
    <w:rsid w:val="00CB485F"/>
    <w:rsid w:val="00CC4CAF"/>
    <w:rsid w:val="00D04DE3"/>
    <w:rsid w:val="00D1674C"/>
    <w:rsid w:val="00D3090D"/>
    <w:rsid w:val="00D55D3C"/>
    <w:rsid w:val="00D612EA"/>
    <w:rsid w:val="00D80BA0"/>
    <w:rsid w:val="00D901D1"/>
    <w:rsid w:val="00DC4779"/>
    <w:rsid w:val="00DD0ED4"/>
    <w:rsid w:val="00DE28C4"/>
    <w:rsid w:val="00DE45D1"/>
    <w:rsid w:val="00E113C4"/>
    <w:rsid w:val="00E120B9"/>
    <w:rsid w:val="00E2096F"/>
    <w:rsid w:val="00E672D3"/>
    <w:rsid w:val="00E80E62"/>
    <w:rsid w:val="00E87023"/>
    <w:rsid w:val="00EC020E"/>
    <w:rsid w:val="00F03514"/>
    <w:rsid w:val="00F60A8E"/>
    <w:rsid w:val="00F63612"/>
    <w:rsid w:val="00F73F3C"/>
    <w:rsid w:val="00F9378F"/>
    <w:rsid w:val="00F950FD"/>
    <w:rsid w:val="00FA0B41"/>
    <w:rsid w:val="00FA718C"/>
    <w:rsid w:val="00FB588C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F382-A061-4547-AAA3-41A03B6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D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7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i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s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9177-DEBD-41EC-93B5-30B8D8D2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IAdamova</dc:creator>
  <cp:lastModifiedBy>ИванФранклин</cp:lastModifiedBy>
  <cp:revision>10</cp:revision>
  <cp:lastPrinted>2012-02-16T10:07:00Z</cp:lastPrinted>
  <dcterms:created xsi:type="dcterms:W3CDTF">2016-05-24T08:11:00Z</dcterms:created>
  <dcterms:modified xsi:type="dcterms:W3CDTF">2016-06-02T06:34:00Z</dcterms:modified>
</cp:coreProperties>
</file>